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B73B0" w:rsidRDefault="003B73B0" w:rsidP="0029764F">
      <w:pPr>
        <w:jc w:val="center"/>
        <w:rPr>
          <w:b/>
          <w:bCs/>
        </w:rPr>
      </w:pPr>
    </w:p>
    <w:p w:rsidR="003B73B0" w:rsidRDefault="003B73B0" w:rsidP="0029764F">
      <w:pPr>
        <w:jc w:val="center"/>
        <w:rPr>
          <w:b/>
          <w:bCs/>
        </w:rPr>
      </w:pPr>
    </w:p>
    <w:p w:rsidR="003B73B0" w:rsidRDefault="003B73B0" w:rsidP="0029764F">
      <w:pPr>
        <w:jc w:val="center"/>
        <w:rPr>
          <w:b/>
          <w:bCs/>
        </w:rPr>
      </w:pPr>
    </w:p>
    <w:p w:rsidR="00DB5DEF" w:rsidRDefault="00DB5DEF" w:rsidP="00501552">
      <w:pPr>
        <w:jc w:val="center"/>
        <w:rPr>
          <w:b/>
          <w:bCs/>
        </w:rPr>
      </w:pPr>
    </w:p>
    <w:p w:rsidR="00DB5DEF" w:rsidRDefault="00DB5DEF" w:rsidP="00501552">
      <w:pPr>
        <w:jc w:val="center"/>
        <w:rPr>
          <w:b/>
          <w:bCs/>
        </w:rPr>
      </w:pPr>
    </w:p>
    <w:p w:rsidR="00DB5DEF" w:rsidRDefault="00DB5DEF" w:rsidP="00501552">
      <w:pPr>
        <w:jc w:val="center"/>
        <w:rPr>
          <w:b/>
          <w:bCs/>
        </w:rPr>
      </w:pPr>
    </w:p>
    <w:p w:rsidR="00DB5DEF" w:rsidRDefault="00DB5DEF" w:rsidP="00501552">
      <w:pPr>
        <w:jc w:val="center"/>
        <w:rPr>
          <w:b/>
          <w:bCs/>
        </w:rPr>
      </w:pPr>
    </w:p>
    <w:p w:rsidR="00DB5DEF" w:rsidRPr="003578B6" w:rsidRDefault="00941EED" w:rsidP="00DB5DEF">
      <w:pPr>
        <w:jc w:val="center"/>
        <w:rPr>
          <w:b/>
          <w:bCs/>
        </w:rPr>
      </w:pPr>
      <w:r>
        <w:rPr>
          <w:b/>
          <w:bCs/>
        </w:rPr>
        <w:t>Health Policy for Healthcare Services</w:t>
      </w:r>
    </w:p>
    <w:p w:rsidR="003B73B0" w:rsidRPr="003B73B0" w:rsidRDefault="00941EED" w:rsidP="003B73B0">
      <w:pPr>
        <w:jc w:val="center"/>
      </w:pPr>
      <w:r>
        <w:t xml:space="preserve">Name </w:t>
      </w:r>
    </w:p>
    <w:p w:rsidR="003B73B0" w:rsidRPr="003B73B0" w:rsidRDefault="00941EED" w:rsidP="003B73B0">
      <w:pPr>
        <w:jc w:val="center"/>
      </w:pPr>
      <w:r>
        <w:t>Institutional Affiliation</w:t>
      </w:r>
    </w:p>
    <w:p w:rsidR="003B73B0" w:rsidRPr="003B73B0" w:rsidRDefault="00941EED" w:rsidP="003B73B0">
      <w:pPr>
        <w:jc w:val="center"/>
      </w:pPr>
      <w:r w:rsidRPr="003B73B0">
        <w:t>Instructor</w:t>
      </w:r>
    </w:p>
    <w:p w:rsidR="003B73B0" w:rsidRPr="003B73B0" w:rsidRDefault="00941EED" w:rsidP="003B73B0">
      <w:pPr>
        <w:jc w:val="center"/>
      </w:pPr>
      <w:r w:rsidRPr="003B73B0">
        <w:t>Date</w:t>
      </w:r>
    </w:p>
    <w:p w:rsidR="003B73B0" w:rsidRPr="003B73B0" w:rsidRDefault="003B73B0" w:rsidP="0029764F">
      <w:pPr>
        <w:jc w:val="center"/>
      </w:pPr>
    </w:p>
    <w:p w:rsidR="003B73B0" w:rsidRDefault="003B73B0" w:rsidP="0029764F">
      <w:pPr>
        <w:jc w:val="center"/>
        <w:rPr>
          <w:b/>
          <w:bCs/>
        </w:rPr>
      </w:pPr>
    </w:p>
    <w:p w:rsidR="003B73B0" w:rsidRDefault="003B73B0" w:rsidP="0029764F">
      <w:pPr>
        <w:jc w:val="center"/>
        <w:rPr>
          <w:b/>
          <w:bCs/>
        </w:rPr>
      </w:pPr>
    </w:p>
    <w:p w:rsidR="003B73B0" w:rsidRDefault="003B73B0" w:rsidP="0029764F">
      <w:pPr>
        <w:jc w:val="center"/>
        <w:rPr>
          <w:b/>
          <w:bCs/>
        </w:rPr>
      </w:pPr>
    </w:p>
    <w:p w:rsidR="003B73B0" w:rsidRDefault="003B73B0" w:rsidP="0029764F">
      <w:pPr>
        <w:jc w:val="center"/>
        <w:rPr>
          <w:b/>
          <w:bCs/>
        </w:rPr>
      </w:pPr>
    </w:p>
    <w:p w:rsidR="003B73B0" w:rsidRDefault="003B73B0" w:rsidP="0029764F">
      <w:pPr>
        <w:jc w:val="center"/>
        <w:rPr>
          <w:b/>
          <w:bCs/>
        </w:rPr>
      </w:pPr>
    </w:p>
    <w:p w:rsidR="003B73B0" w:rsidRDefault="003B73B0" w:rsidP="0029764F">
      <w:pPr>
        <w:jc w:val="center"/>
        <w:rPr>
          <w:b/>
          <w:bCs/>
        </w:rPr>
      </w:pPr>
    </w:p>
    <w:p w:rsidR="003B73B0" w:rsidRDefault="003B73B0" w:rsidP="0029764F">
      <w:pPr>
        <w:jc w:val="center"/>
        <w:rPr>
          <w:b/>
          <w:bCs/>
        </w:rPr>
      </w:pPr>
    </w:p>
    <w:p w:rsidR="003B73B0" w:rsidRDefault="003B73B0" w:rsidP="003B73B0">
      <w:pPr>
        <w:ind w:firstLine="0"/>
        <w:rPr>
          <w:b/>
          <w:bCs/>
        </w:rPr>
      </w:pPr>
    </w:p>
    <w:p w:rsidR="00DB5DEF" w:rsidRDefault="00DB5DEF" w:rsidP="003B73B0">
      <w:pPr>
        <w:ind w:firstLine="0"/>
        <w:rPr>
          <w:b/>
          <w:bCs/>
        </w:rPr>
      </w:pPr>
    </w:p>
    <w:p w:rsidR="003B73B0" w:rsidRDefault="003B73B0" w:rsidP="0029764F">
      <w:pPr>
        <w:jc w:val="center"/>
        <w:rPr>
          <w:b/>
          <w:bCs/>
        </w:rPr>
      </w:pPr>
    </w:p>
    <w:p w:rsidR="00DB5DEF" w:rsidRPr="0051632D" w:rsidRDefault="00941EED" w:rsidP="00DB5DEF">
      <w:pPr>
        <w:jc w:val="center"/>
      </w:pPr>
      <w:r>
        <w:rPr>
          <w:b/>
          <w:bCs/>
        </w:rPr>
        <w:t>Health Policy Discussion Board</w:t>
      </w:r>
    </w:p>
    <w:p w:rsidR="005A5FD8" w:rsidRPr="001F3E24" w:rsidRDefault="00941EED" w:rsidP="00EA51D8">
      <w:pPr>
        <w:pStyle w:val="ListParagraph"/>
        <w:numPr>
          <w:ilvl w:val="0"/>
          <w:numId w:val="16"/>
        </w:numPr>
        <w:textAlignment w:val="baseline"/>
        <w:rPr>
          <w:bCs/>
        </w:rPr>
      </w:pPr>
      <w:r w:rsidRPr="00EA51D8">
        <w:t xml:space="preserve">The government steps in to help and individual purchase insurance </w:t>
      </w:r>
      <w:r>
        <w:t>cover when the family or personal incomes less than 133% of the</w:t>
      </w:r>
      <w:r w:rsidR="00B379DA">
        <w:t xml:space="preserve"> federal poverty level. Sara Rosenbaum in her</w:t>
      </w:r>
      <w:r>
        <w:t xml:space="preserve"> </w:t>
      </w:r>
      <w:r w:rsidR="00B379DA">
        <w:t xml:space="preserve">2011 </w:t>
      </w:r>
      <w:r>
        <w:t>publication of the Act states that, in expanding existing coverage, the A</w:t>
      </w:r>
      <w:r w:rsidR="006130D4">
        <w:t xml:space="preserve">ct fundamentally restructures Medicaid to cover all citizens and legal U.S. residents with family incomes less than 133% of the federal poverty level(as measured through a new "modified adjusted gross income " test) and the streamlined enrollment. The federal-state should carry out this assistance as its responsibility. The federal-state should take on this course to ensure that all individuals who cannot raise insurance cover access quality health plans throughout all the country. The federal-state also can be able to well secure funds and release them on time to ensure that the hospitals do not strain and that the normalcy in operations is maintained even as the </w:t>
      </w:r>
      <w:r w:rsidR="001F3E24">
        <w:t>individuals who by their poverty levels, are unable to secure insurance cover, are benefiting from the government aid program. This role is a significant and critical factor in improving access to better health and improving the lives of the American citizens, and thus should be carried by the federal state.</w:t>
      </w:r>
    </w:p>
    <w:p w:rsidR="00A85C62" w:rsidRPr="00A85C62" w:rsidRDefault="00941EED" w:rsidP="00EA51D8">
      <w:pPr>
        <w:pStyle w:val="ListParagraph"/>
        <w:numPr>
          <w:ilvl w:val="0"/>
          <w:numId w:val="16"/>
        </w:numPr>
        <w:textAlignment w:val="baseline"/>
        <w:rPr>
          <w:bCs/>
        </w:rPr>
      </w:pPr>
      <w:r>
        <w:t>It would be good to expand the safety net providers. Despite the existence of the universal cover, it enables access to health services to the extensively large population of the uninsured and underinsured.</w:t>
      </w:r>
      <w:r w:rsidR="00877B3E">
        <w:t xml:space="preserve"> This is true as uninsured and underinsured adults have inadequate </w:t>
      </w:r>
      <w:r w:rsidR="00CA21D8">
        <w:t>access</w:t>
      </w:r>
      <w:r w:rsidR="00877B3E">
        <w:t xml:space="preserve"> to care, receiving a fewer health screening, preventive, and </w:t>
      </w:r>
      <w:r w:rsidR="00CA21D8">
        <w:t>specialty</w:t>
      </w:r>
      <w:r w:rsidR="00877B3E">
        <w:t xml:space="preserve"> care services than privately insured patients </w:t>
      </w:r>
      <w:r>
        <w:t>(Erica</w:t>
      </w:r>
      <w:r w:rsidR="00877B3E">
        <w:t>, Michael, et a</w:t>
      </w:r>
      <w:r w:rsidR="00A52972">
        <w:t>l., 2015</w:t>
      </w:r>
      <w:r w:rsidR="00877B3E">
        <w:t xml:space="preserve">). Therefore, it paves the way for expanding the safety net to </w:t>
      </w:r>
      <w:r>
        <w:t>improve</w:t>
      </w:r>
      <w:r w:rsidR="00877B3E">
        <w:t xml:space="preserve"> access and delivery of health services in the safety-net system. Furthermore, there are valid reasons as to why safety net providers and insurance providers to exist.</w:t>
      </w:r>
    </w:p>
    <w:p w:rsidR="00A85C62" w:rsidRPr="00A85C62" w:rsidRDefault="00877B3E" w:rsidP="00A52972">
      <w:pPr>
        <w:pStyle w:val="ListParagraph"/>
        <w:ind w:firstLine="0"/>
        <w:textAlignment w:val="baseline"/>
        <w:rPr>
          <w:bCs/>
        </w:rPr>
      </w:pPr>
      <w:r>
        <w:t>First and foremost is because care for the uninsured and the underinsured is provided mainly by our nation'</w:t>
      </w:r>
      <w:r w:rsidR="00941EED">
        <w:t>s health c</w:t>
      </w:r>
      <w:r>
        <w:t>are safety-net</w:t>
      </w:r>
      <w:r w:rsidR="00941EED">
        <w:t xml:space="preserve"> system comprised of providers who care for patients regardless of their ability to pay (Erica, Michael, et al., 2012). Secondly, the existence of insurance providers helps those who can access private cover and gain quality health services. Having insurance is essential, especially in the circumstances when there are unplanned emergencies that may include treatment or surgical procedure, or intensive care that otherwise may be too expensive to settle in terms of billing. Having a good insurance cover comes in at such times to handle the bills; thus, access to care is assured. </w:t>
      </w:r>
    </w:p>
    <w:p w:rsidR="001F3E24" w:rsidRDefault="00941EED" w:rsidP="00EA51D8">
      <w:pPr>
        <w:pStyle w:val="ListParagraph"/>
        <w:numPr>
          <w:ilvl w:val="0"/>
          <w:numId w:val="16"/>
        </w:numPr>
        <w:textAlignment w:val="baseline"/>
        <w:rPr>
          <w:bCs/>
        </w:rPr>
      </w:pPr>
      <w:r>
        <w:t>CDC states that h</w:t>
      </w:r>
      <w:r w:rsidR="00A85C62">
        <w:t xml:space="preserve">ealth equity is achieved when every person can attain their full health potential, and no one is disadvantaged from achieving this potential because of social position or other </w:t>
      </w:r>
      <w:r>
        <w:t>socially determined circumstances. It is laudable to expand the depth of health equity because it is achievable. By developing the safety-net systems and putting up community programs that will eliminate socioeconomic disparities, having a common goal for the public health practitioners in eliminating the disparities is also vital. In as much as help may be given, some will not respond to the given aid in achieving heal</w:t>
      </w:r>
      <w:r w:rsidR="002661F3">
        <w:t>th equity and are in need; socie</w:t>
      </w:r>
      <w:r>
        <w:t>tal norms and cultures may be disadvantageous, but educating the general public to ensure they are well knowledgeable about the running programs, and providing them with information a thus are well informed. In case some people fail to adhere to the set disciplines, a form of responsibility should be set in place by the community to hold them accountable but not necessarily corporal punishment.</w:t>
      </w:r>
    </w:p>
    <w:p w:rsidR="005A5FD8" w:rsidRDefault="005A5FD8" w:rsidP="007B007B">
      <w:pPr>
        <w:pStyle w:val="ListParagraph"/>
        <w:ind w:left="1440" w:firstLine="0"/>
        <w:rPr>
          <w:bCs/>
        </w:rPr>
      </w:pPr>
    </w:p>
    <w:p w:rsidR="005A5FD8" w:rsidRDefault="005A5FD8" w:rsidP="007B007B">
      <w:pPr>
        <w:pStyle w:val="ListParagraph"/>
        <w:ind w:left="1440" w:firstLine="0"/>
        <w:rPr>
          <w:bCs/>
        </w:rPr>
      </w:pPr>
    </w:p>
    <w:p w:rsidR="00B379DA" w:rsidRPr="00B379DA" w:rsidRDefault="00B379DA" w:rsidP="00B379DA">
      <w:pPr>
        <w:shd w:val="clear" w:color="auto" w:fill="FFFFFF"/>
        <w:spacing w:line="240" w:lineRule="auto"/>
        <w:ind w:firstLine="0"/>
        <w:jc w:val="center"/>
        <w:rPr>
          <w:b/>
          <w:color w:val="000000"/>
        </w:rPr>
      </w:pPr>
      <w:r w:rsidRPr="00B379DA">
        <w:rPr>
          <w:b/>
          <w:color w:val="000000"/>
        </w:rPr>
        <w:t>References</w:t>
      </w:r>
    </w:p>
    <w:p w:rsidR="00B379DA" w:rsidRDefault="00B379DA" w:rsidP="00B379DA">
      <w:pPr>
        <w:pStyle w:val="NormalWeb"/>
        <w:shd w:val="clear" w:color="auto" w:fill="FFFFFF"/>
        <w:spacing w:before="0" w:beforeAutospacing="0" w:after="0" w:afterAutospacing="0" w:line="550" w:lineRule="atLeast"/>
        <w:ind w:left="720" w:right="75" w:hanging="720"/>
        <w:rPr>
          <w:rStyle w:val="Hyperlink"/>
          <w:rFonts w:ascii="inherit" w:eastAsiaTheme="majorEastAsia" w:hAnsi="inherit"/>
          <w:color w:val="000000"/>
        </w:rPr>
      </w:pPr>
      <w:r>
        <w:rPr>
          <w:color w:val="000000"/>
        </w:rPr>
        <w:t>Rosenbaum, S. (2011). The Patient Protection and Affordable Care Act: Implications for public health policy and practice. </w:t>
      </w:r>
      <w:r>
        <w:rPr>
          <w:rStyle w:val="Emphasis"/>
          <w:rFonts w:eastAsiaTheme="majorEastAsia"/>
          <w:color w:val="000000"/>
        </w:rPr>
        <w:t>Public Health Reports</w:t>
      </w:r>
      <w:r>
        <w:rPr>
          <w:color w:val="000000"/>
        </w:rPr>
        <w:t>, </w:t>
      </w:r>
      <w:r>
        <w:rPr>
          <w:rStyle w:val="Emphasis"/>
          <w:rFonts w:eastAsiaTheme="majorEastAsia"/>
          <w:color w:val="000000"/>
        </w:rPr>
        <w:t>126</w:t>
      </w:r>
      <w:r>
        <w:rPr>
          <w:color w:val="000000"/>
        </w:rPr>
        <w:t>(1), 130-135. </w:t>
      </w:r>
      <w:hyperlink r:id="rId8" w:history="1">
        <w:r>
          <w:rPr>
            <w:rStyle w:val="Hyperlink"/>
            <w:rFonts w:ascii="inherit" w:eastAsiaTheme="majorEastAsia" w:hAnsi="inherit"/>
            <w:color w:val="000000"/>
          </w:rPr>
          <w:t>https://doi.org/10.1177/003335491112600118</w:t>
        </w:r>
      </w:hyperlink>
    </w:p>
    <w:p w:rsidR="00A52972" w:rsidRDefault="00A52972" w:rsidP="00A52972">
      <w:pPr>
        <w:shd w:val="clear" w:color="auto" w:fill="FFFFFF"/>
        <w:spacing w:line="240" w:lineRule="auto"/>
        <w:ind w:firstLine="0"/>
        <w:rPr>
          <w:color w:val="000000"/>
        </w:rPr>
      </w:pPr>
    </w:p>
    <w:p w:rsidR="00A52972" w:rsidRDefault="00A52972" w:rsidP="00A52972">
      <w:pPr>
        <w:pStyle w:val="NormalWeb"/>
        <w:shd w:val="clear" w:color="auto" w:fill="FFFFFF"/>
        <w:spacing w:before="0" w:beforeAutospacing="0" w:after="0" w:afterAutospacing="0" w:line="550" w:lineRule="atLeast"/>
        <w:ind w:left="720" w:right="75" w:hanging="720"/>
        <w:rPr>
          <w:color w:val="000000"/>
        </w:rPr>
      </w:pPr>
      <w:r>
        <w:rPr>
          <w:color w:val="000000"/>
        </w:rPr>
        <w:t xml:space="preserve">Kenney, E. L., Long, M. W., Cradock, A. L., &amp; Gortmaker, S. L. (2015). </w:t>
      </w:r>
      <w:r w:rsidR="00570C25">
        <w:rPr>
          <w:color w:val="000000"/>
        </w:rPr>
        <w:t>undefined</w:t>
      </w:r>
      <w:r>
        <w:rPr>
          <w:color w:val="000000"/>
        </w:rPr>
        <w:t>. </w:t>
      </w:r>
      <w:r>
        <w:rPr>
          <w:rStyle w:val="Emphasis"/>
          <w:rFonts w:eastAsiaTheme="majorEastAsia"/>
          <w:color w:val="000000"/>
        </w:rPr>
        <w:t>American Journal of Public Health</w:t>
      </w:r>
      <w:r>
        <w:rPr>
          <w:color w:val="000000"/>
        </w:rPr>
        <w:t>, </w:t>
      </w:r>
      <w:r>
        <w:rPr>
          <w:rStyle w:val="Emphasis"/>
          <w:rFonts w:eastAsiaTheme="majorEastAsia"/>
          <w:color w:val="000000"/>
        </w:rPr>
        <w:t>105</w:t>
      </w:r>
      <w:r>
        <w:rPr>
          <w:color w:val="000000"/>
        </w:rPr>
        <w:t>(10), e6-e7. </w:t>
      </w:r>
      <w:hyperlink r:id="rId9" w:history="1">
        <w:r>
          <w:rPr>
            <w:rStyle w:val="Hyperlink"/>
            <w:rFonts w:ascii="inherit" w:eastAsiaTheme="majorEastAsia" w:hAnsi="inherit"/>
            <w:color w:val="000000"/>
          </w:rPr>
          <w:t>https://doi.org/10.2105/ajph.2015.302846</w:t>
        </w:r>
      </w:hyperlink>
    </w:p>
    <w:p w:rsidR="00570C25" w:rsidRDefault="00570C25" w:rsidP="00570C25">
      <w:pPr>
        <w:shd w:val="clear" w:color="auto" w:fill="FFFFFF"/>
        <w:spacing w:line="240" w:lineRule="auto"/>
        <w:ind w:firstLine="0"/>
        <w:jc w:val="center"/>
        <w:rPr>
          <w:color w:val="000000"/>
        </w:rPr>
      </w:pPr>
      <w:r>
        <w:rPr>
          <w:color w:val="000000"/>
        </w:rPr>
        <w:t>References</w:t>
      </w:r>
    </w:p>
    <w:p w:rsidR="00570C25" w:rsidRDefault="00570C25" w:rsidP="00570C25">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CDC - Attaining health equity - Healthy communities program</w:t>
      </w:r>
      <w:r>
        <w:rPr>
          <w:color w:val="000000"/>
        </w:rPr>
        <w:t>. (2013, October 25). Centers for Disease Control and Prevention. </w:t>
      </w:r>
      <w:hyperlink r:id="rId10" w:history="1">
        <w:r>
          <w:rPr>
            <w:rStyle w:val="Hyperlink"/>
            <w:rFonts w:ascii="inherit" w:eastAsiaTheme="majorEastAsia" w:hAnsi="inherit"/>
            <w:color w:val="000000"/>
          </w:rPr>
          <w:t>https://www.cdc.gov/nccdphp/dch/programs/healthycommunitiesprogram/overview/healthequity.htm</w:t>
        </w:r>
      </w:hyperlink>
    </w:p>
    <w:p w:rsidR="00A52972" w:rsidRDefault="00A52972" w:rsidP="00A52972">
      <w:pPr>
        <w:pStyle w:val="NormalWeb"/>
        <w:shd w:val="clear" w:color="auto" w:fill="FFFFFF"/>
        <w:spacing w:before="0" w:beforeAutospacing="0" w:after="0" w:afterAutospacing="0" w:line="550" w:lineRule="atLeast"/>
        <w:ind w:left="720" w:right="75" w:hanging="720"/>
        <w:rPr>
          <w:color w:val="000000"/>
        </w:rPr>
      </w:pPr>
    </w:p>
    <w:p w:rsidR="00A52972" w:rsidRDefault="00A52972" w:rsidP="00B379DA">
      <w:pPr>
        <w:pStyle w:val="NormalWeb"/>
        <w:shd w:val="clear" w:color="auto" w:fill="FFFFFF"/>
        <w:spacing w:before="0" w:beforeAutospacing="0" w:after="0" w:afterAutospacing="0" w:line="550" w:lineRule="atLeast"/>
        <w:ind w:left="720" w:right="75" w:hanging="720"/>
        <w:rPr>
          <w:rStyle w:val="Hyperlink"/>
          <w:rFonts w:ascii="inherit" w:eastAsiaTheme="majorEastAsia" w:hAnsi="inherit"/>
          <w:color w:val="000000"/>
        </w:rPr>
      </w:pPr>
    </w:p>
    <w:p w:rsidR="00F71B02" w:rsidRDefault="00F71B02" w:rsidP="00B379DA">
      <w:pPr>
        <w:pStyle w:val="NormalWeb"/>
        <w:shd w:val="clear" w:color="auto" w:fill="FFFFFF"/>
        <w:spacing w:before="0" w:beforeAutospacing="0" w:after="0" w:afterAutospacing="0" w:line="550" w:lineRule="atLeast"/>
        <w:ind w:left="720" w:right="75" w:hanging="720"/>
        <w:rPr>
          <w:color w:val="000000"/>
        </w:rPr>
      </w:pPr>
    </w:p>
    <w:p w:rsidR="00DB5DEF" w:rsidRDefault="00DB5DEF" w:rsidP="003B6849">
      <w:pPr>
        <w:ind w:firstLine="0"/>
        <w:rPr>
          <w:bCs/>
        </w:rPr>
      </w:pPr>
    </w:p>
    <w:p w:rsidR="003B6849" w:rsidRPr="003B6849" w:rsidRDefault="003B6849" w:rsidP="003B6849">
      <w:pPr>
        <w:ind w:firstLine="0"/>
        <w:rPr>
          <w:bCs/>
        </w:rPr>
      </w:pPr>
    </w:p>
    <w:p w:rsidR="00DB5DEF" w:rsidRDefault="00DB5DEF" w:rsidP="005A5FD8">
      <w:pPr>
        <w:pStyle w:val="ListParagraph"/>
        <w:ind w:left="1440" w:firstLine="0"/>
        <w:jc w:val="center"/>
        <w:rPr>
          <w:bCs/>
        </w:rPr>
      </w:pPr>
    </w:p>
    <w:p w:rsidR="00E16B58" w:rsidRDefault="00E16B58" w:rsidP="00DB5DEF">
      <w:pPr>
        <w:ind w:firstLine="0"/>
        <w:rPr>
          <w:b/>
          <w:color w:val="000000"/>
        </w:rPr>
      </w:pPr>
    </w:p>
    <w:sectPr w:rsidR="00E16B5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04712" w:rsidRDefault="00C04712">
      <w:pPr>
        <w:spacing w:line="240" w:lineRule="auto"/>
      </w:pPr>
      <w:r>
        <w:separator/>
      </w:r>
    </w:p>
  </w:endnote>
  <w:endnote w:type="continuationSeparator" w:id="0">
    <w:p w:rsidR="00C04712" w:rsidRDefault="00C047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inherit">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04712" w:rsidRDefault="00C04712">
      <w:pPr>
        <w:spacing w:line="240" w:lineRule="auto"/>
      </w:pPr>
      <w:r>
        <w:separator/>
      </w:r>
    </w:p>
  </w:footnote>
  <w:footnote w:type="continuationSeparator" w:id="0">
    <w:p w:rsidR="00C04712" w:rsidRDefault="00C047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2A32" w:rsidRDefault="00941EED"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570C25" w:rsidRPr="00570C25">
          <w:rPr>
            <w:noProof/>
            <w:lang w:val="nl-NL"/>
          </w:rPr>
          <w:t>4</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E054A7CA">
      <w:start w:val="1"/>
      <w:numFmt w:val="decimal"/>
      <w:lvlText w:val="%1."/>
      <w:lvlJc w:val="left"/>
      <w:pPr>
        <w:ind w:left="720" w:hanging="360"/>
      </w:pPr>
    </w:lvl>
    <w:lvl w:ilvl="1" w:tplc="9D0A1744" w:tentative="1">
      <w:start w:val="1"/>
      <w:numFmt w:val="lowerLetter"/>
      <w:lvlText w:val="%2."/>
      <w:lvlJc w:val="left"/>
      <w:pPr>
        <w:ind w:left="1440" w:hanging="360"/>
      </w:pPr>
    </w:lvl>
    <w:lvl w:ilvl="2" w:tplc="DFE616D6" w:tentative="1">
      <w:start w:val="1"/>
      <w:numFmt w:val="lowerRoman"/>
      <w:lvlText w:val="%3."/>
      <w:lvlJc w:val="right"/>
      <w:pPr>
        <w:ind w:left="2160" w:hanging="180"/>
      </w:pPr>
    </w:lvl>
    <w:lvl w:ilvl="3" w:tplc="5B58BEDE" w:tentative="1">
      <w:start w:val="1"/>
      <w:numFmt w:val="decimal"/>
      <w:lvlText w:val="%4."/>
      <w:lvlJc w:val="left"/>
      <w:pPr>
        <w:ind w:left="2880" w:hanging="360"/>
      </w:pPr>
    </w:lvl>
    <w:lvl w:ilvl="4" w:tplc="CE80BFDA" w:tentative="1">
      <w:start w:val="1"/>
      <w:numFmt w:val="lowerLetter"/>
      <w:lvlText w:val="%5."/>
      <w:lvlJc w:val="left"/>
      <w:pPr>
        <w:ind w:left="3600" w:hanging="360"/>
      </w:pPr>
    </w:lvl>
    <w:lvl w:ilvl="5" w:tplc="A4F26CF4" w:tentative="1">
      <w:start w:val="1"/>
      <w:numFmt w:val="lowerRoman"/>
      <w:lvlText w:val="%6."/>
      <w:lvlJc w:val="right"/>
      <w:pPr>
        <w:ind w:left="4320" w:hanging="180"/>
      </w:pPr>
    </w:lvl>
    <w:lvl w:ilvl="6" w:tplc="379CA536" w:tentative="1">
      <w:start w:val="1"/>
      <w:numFmt w:val="decimal"/>
      <w:lvlText w:val="%7."/>
      <w:lvlJc w:val="left"/>
      <w:pPr>
        <w:ind w:left="5040" w:hanging="360"/>
      </w:pPr>
    </w:lvl>
    <w:lvl w:ilvl="7" w:tplc="BAA02F7A" w:tentative="1">
      <w:start w:val="1"/>
      <w:numFmt w:val="lowerLetter"/>
      <w:lvlText w:val="%8."/>
      <w:lvlJc w:val="left"/>
      <w:pPr>
        <w:ind w:left="5760" w:hanging="360"/>
      </w:pPr>
    </w:lvl>
    <w:lvl w:ilvl="8" w:tplc="D41E25DA"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0C022D70">
      <w:start w:val="1"/>
      <w:numFmt w:val="bullet"/>
      <w:lvlText w:val=""/>
      <w:lvlJc w:val="left"/>
      <w:pPr>
        <w:ind w:left="1997" w:hanging="360"/>
      </w:pPr>
      <w:rPr>
        <w:rFonts w:ascii="Symbol" w:hAnsi="Symbol" w:hint="default"/>
      </w:rPr>
    </w:lvl>
    <w:lvl w:ilvl="1" w:tplc="A06E1640" w:tentative="1">
      <w:start w:val="1"/>
      <w:numFmt w:val="bullet"/>
      <w:lvlText w:val="o"/>
      <w:lvlJc w:val="left"/>
      <w:pPr>
        <w:ind w:left="2717" w:hanging="360"/>
      </w:pPr>
      <w:rPr>
        <w:rFonts w:ascii="Courier New" w:hAnsi="Courier New" w:cs="Courier New" w:hint="default"/>
      </w:rPr>
    </w:lvl>
    <w:lvl w:ilvl="2" w:tplc="06C4E312" w:tentative="1">
      <w:start w:val="1"/>
      <w:numFmt w:val="bullet"/>
      <w:lvlText w:val=""/>
      <w:lvlJc w:val="left"/>
      <w:pPr>
        <w:ind w:left="3437" w:hanging="360"/>
      </w:pPr>
      <w:rPr>
        <w:rFonts w:ascii="Wingdings" w:hAnsi="Wingdings" w:hint="default"/>
      </w:rPr>
    </w:lvl>
    <w:lvl w:ilvl="3" w:tplc="CF2A2DBA" w:tentative="1">
      <w:start w:val="1"/>
      <w:numFmt w:val="bullet"/>
      <w:lvlText w:val=""/>
      <w:lvlJc w:val="left"/>
      <w:pPr>
        <w:ind w:left="4157" w:hanging="360"/>
      </w:pPr>
      <w:rPr>
        <w:rFonts w:ascii="Symbol" w:hAnsi="Symbol" w:hint="default"/>
      </w:rPr>
    </w:lvl>
    <w:lvl w:ilvl="4" w:tplc="AC06DCF8" w:tentative="1">
      <w:start w:val="1"/>
      <w:numFmt w:val="bullet"/>
      <w:lvlText w:val="o"/>
      <w:lvlJc w:val="left"/>
      <w:pPr>
        <w:ind w:left="4877" w:hanging="360"/>
      </w:pPr>
      <w:rPr>
        <w:rFonts w:ascii="Courier New" w:hAnsi="Courier New" w:cs="Courier New" w:hint="default"/>
      </w:rPr>
    </w:lvl>
    <w:lvl w:ilvl="5" w:tplc="BB8A18D6" w:tentative="1">
      <w:start w:val="1"/>
      <w:numFmt w:val="bullet"/>
      <w:lvlText w:val=""/>
      <w:lvlJc w:val="left"/>
      <w:pPr>
        <w:ind w:left="5597" w:hanging="360"/>
      </w:pPr>
      <w:rPr>
        <w:rFonts w:ascii="Wingdings" w:hAnsi="Wingdings" w:hint="default"/>
      </w:rPr>
    </w:lvl>
    <w:lvl w:ilvl="6" w:tplc="29086490" w:tentative="1">
      <w:start w:val="1"/>
      <w:numFmt w:val="bullet"/>
      <w:lvlText w:val=""/>
      <w:lvlJc w:val="left"/>
      <w:pPr>
        <w:ind w:left="6317" w:hanging="360"/>
      </w:pPr>
      <w:rPr>
        <w:rFonts w:ascii="Symbol" w:hAnsi="Symbol" w:hint="default"/>
      </w:rPr>
    </w:lvl>
    <w:lvl w:ilvl="7" w:tplc="5A7EF50C" w:tentative="1">
      <w:start w:val="1"/>
      <w:numFmt w:val="bullet"/>
      <w:lvlText w:val="o"/>
      <w:lvlJc w:val="left"/>
      <w:pPr>
        <w:ind w:left="7037" w:hanging="360"/>
      </w:pPr>
      <w:rPr>
        <w:rFonts w:ascii="Courier New" w:hAnsi="Courier New" w:cs="Courier New" w:hint="default"/>
      </w:rPr>
    </w:lvl>
    <w:lvl w:ilvl="8" w:tplc="7F2C3C40"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12C46BB6">
      <w:start w:val="1"/>
      <w:numFmt w:val="decimal"/>
      <w:lvlText w:val="%1."/>
      <w:lvlJc w:val="left"/>
      <w:pPr>
        <w:ind w:left="900" w:hanging="360"/>
      </w:pPr>
      <w:rPr>
        <w:rFonts w:hint="default"/>
      </w:rPr>
    </w:lvl>
    <w:lvl w:ilvl="1" w:tplc="8918FB1E" w:tentative="1">
      <w:start w:val="1"/>
      <w:numFmt w:val="lowerLetter"/>
      <w:lvlText w:val="%2."/>
      <w:lvlJc w:val="left"/>
      <w:pPr>
        <w:ind w:left="1620" w:hanging="360"/>
      </w:pPr>
    </w:lvl>
    <w:lvl w:ilvl="2" w:tplc="736C7B12" w:tentative="1">
      <w:start w:val="1"/>
      <w:numFmt w:val="lowerRoman"/>
      <w:lvlText w:val="%3."/>
      <w:lvlJc w:val="right"/>
      <w:pPr>
        <w:ind w:left="2340" w:hanging="180"/>
      </w:pPr>
    </w:lvl>
    <w:lvl w:ilvl="3" w:tplc="02A2408E" w:tentative="1">
      <w:start w:val="1"/>
      <w:numFmt w:val="decimal"/>
      <w:lvlText w:val="%4."/>
      <w:lvlJc w:val="left"/>
      <w:pPr>
        <w:ind w:left="3060" w:hanging="360"/>
      </w:pPr>
    </w:lvl>
    <w:lvl w:ilvl="4" w:tplc="0BA0714E" w:tentative="1">
      <w:start w:val="1"/>
      <w:numFmt w:val="lowerLetter"/>
      <w:lvlText w:val="%5."/>
      <w:lvlJc w:val="left"/>
      <w:pPr>
        <w:ind w:left="3780" w:hanging="360"/>
      </w:pPr>
    </w:lvl>
    <w:lvl w:ilvl="5" w:tplc="1B1A15DE" w:tentative="1">
      <w:start w:val="1"/>
      <w:numFmt w:val="lowerRoman"/>
      <w:lvlText w:val="%6."/>
      <w:lvlJc w:val="right"/>
      <w:pPr>
        <w:ind w:left="4500" w:hanging="180"/>
      </w:pPr>
    </w:lvl>
    <w:lvl w:ilvl="6" w:tplc="3E14D408" w:tentative="1">
      <w:start w:val="1"/>
      <w:numFmt w:val="decimal"/>
      <w:lvlText w:val="%7."/>
      <w:lvlJc w:val="left"/>
      <w:pPr>
        <w:ind w:left="5220" w:hanging="360"/>
      </w:pPr>
    </w:lvl>
    <w:lvl w:ilvl="7" w:tplc="CF8CC7FC" w:tentative="1">
      <w:start w:val="1"/>
      <w:numFmt w:val="lowerLetter"/>
      <w:lvlText w:val="%8."/>
      <w:lvlJc w:val="left"/>
      <w:pPr>
        <w:ind w:left="5940" w:hanging="360"/>
      </w:pPr>
    </w:lvl>
    <w:lvl w:ilvl="8" w:tplc="AECE926A"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0162627A">
      <w:start w:val="1"/>
      <w:numFmt w:val="bullet"/>
      <w:lvlText w:val=""/>
      <w:lvlJc w:val="left"/>
      <w:pPr>
        <w:ind w:left="1277" w:hanging="360"/>
      </w:pPr>
      <w:rPr>
        <w:rFonts w:ascii="Symbol" w:hAnsi="Symbol" w:hint="default"/>
      </w:rPr>
    </w:lvl>
    <w:lvl w:ilvl="1" w:tplc="3E5E1FD4" w:tentative="1">
      <w:start w:val="1"/>
      <w:numFmt w:val="bullet"/>
      <w:lvlText w:val="o"/>
      <w:lvlJc w:val="left"/>
      <w:pPr>
        <w:ind w:left="1997" w:hanging="360"/>
      </w:pPr>
      <w:rPr>
        <w:rFonts w:ascii="Courier New" w:hAnsi="Courier New" w:cs="Courier New" w:hint="default"/>
      </w:rPr>
    </w:lvl>
    <w:lvl w:ilvl="2" w:tplc="77E88B0E" w:tentative="1">
      <w:start w:val="1"/>
      <w:numFmt w:val="bullet"/>
      <w:lvlText w:val=""/>
      <w:lvlJc w:val="left"/>
      <w:pPr>
        <w:ind w:left="2717" w:hanging="360"/>
      </w:pPr>
      <w:rPr>
        <w:rFonts w:ascii="Wingdings" w:hAnsi="Wingdings" w:hint="default"/>
      </w:rPr>
    </w:lvl>
    <w:lvl w:ilvl="3" w:tplc="32BEEE1A" w:tentative="1">
      <w:start w:val="1"/>
      <w:numFmt w:val="bullet"/>
      <w:lvlText w:val=""/>
      <w:lvlJc w:val="left"/>
      <w:pPr>
        <w:ind w:left="3437" w:hanging="360"/>
      </w:pPr>
      <w:rPr>
        <w:rFonts w:ascii="Symbol" w:hAnsi="Symbol" w:hint="default"/>
      </w:rPr>
    </w:lvl>
    <w:lvl w:ilvl="4" w:tplc="031A59BE" w:tentative="1">
      <w:start w:val="1"/>
      <w:numFmt w:val="bullet"/>
      <w:lvlText w:val="o"/>
      <w:lvlJc w:val="left"/>
      <w:pPr>
        <w:ind w:left="4157" w:hanging="360"/>
      </w:pPr>
      <w:rPr>
        <w:rFonts w:ascii="Courier New" w:hAnsi="Courier New" w:cs="Courier New" w:hint="default"/>
      </w:rPr>
    </w:lvl>
    <w:lvl w:ilvl="5" w:tplc="3EC0A654" w:tentative="1">
      <w:start w:val="1"/>
      <w:numFmt w:val="bullet"/>
      <w:lvlText w:val=""/>
      <w:lvlJc w:val="left"/>
      <w:pPr>
        <w:ind w:left="4877" w:hanging="360"/>
      </w:pPr>
      <w:rPr>
        <w:rFonts w:ascii="Wingdings" w:hAnsi="Wingdings" w:hint="default"/>
      </w:rPr>
    </w:lvl>
    <w:lvl w:ilvl="6" w:tplc="6E7E3D28" w:tentative="1">
      <w:start w:val="1"/>
      <w:numFmt w:val="bullet"/>
      <w:lvlText w:val=""/>
      <w:lvlJc w:val="left"/>
      <w:pPr>
        <w:ind w:left="5597" w:hanging="360"/>
      </w:pPr>
      <w:rPr>
        <w:rFonts w:ascii="Symbol" w:hAnsi="Symbol" w:hint="default"/>
      </w:rPr>
    </w:lvl>
    <w:lvl w:ilvl="7" w:tplc="B9C08C4A" w:tentative="1">
      <w:start w:val="1"/>
      <w:numFmt w:val="bullet"/>
      <w:lvlText w:val="o"/>
      <w:lvlJc w:val="left"/>
      <w:pPr>
        <w:ind w:left="6317" w:hanging="360"/>
      </w:pPr>
      <w:rPr>
        <w:rFonts w:ascii="Courier New" w:hAnsi="Courier New" w:cs="Courier New" w:hint="default"/>
      </w:rPr>
    </w:lvl>
    <w:lvl w:ilvl="8" w:tplc="69D0E50A"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A26E05E4">
      <w:start w:val="1"/>
      <w:numFmt w:val="decimal"/>
      <w:lvlText w:val="%1."/>
      <w:lvlJc w:val="left"/>
      <w:pPr>
        <w:ind w:left="1440" w:hanging="360"/>
      </w:pPr>
    </w:lvl>
    <w:lvl w:ilvl="1" w:tplc="4A82EAB2" w:tentative="1">
      <w:start w:val="1"/>
      <w:numFmt w:val="lowerLetter"/>
      <w:lvlText w:val="%2."/>
      <w:lvlJc w:val="left"/>
      <w:pPr>
        <w:ind w:left="2160" w:hanging="360"/>
      </w:pPr>
    </w:lvl>
    <w:lvl w:ilvl="2" w:tplc="5AFE574E" w:tentative="1">
      <w:start w:val="1"/>
      <w:numFmt w:val="lowerRoman"/>
      <w:lvlText w:val="%3."/>
      <w:lvlJc w:val="right"/>
      <w:pPr>
        <w:ind w:left="2880" w:hanging="180"/>
      </w:pPr>
    </w:lvl>
    <w:lvl w:ilvl="3" w:tplc="E098DC22" w:tentative="1">
      <w:start w:val="1"/>
      <w:numFmt w:val="decimal"/>
      <w:lvlText w:val="%4."/>
      <w:lvlJc w:val="left"/>
      <w:pPr>
        <w:ind w:left="3600" w:hanging="360"/>
      </w:pPr>
    </w:lvl>
    <w:lvl w:ilvl="4" w:tplc="AE742648" w:tentative="1">
      <w:start w:val="1"/>
      <w:numFmt w:val="lowerLetter"/>
      <w:lvlText w:val="%5."/>
      <w:lvlJc w:val="left"/>
      <w:pPr>
        <w:ind w:left="4320" w:hanging="360"/>
      </w:pPr>
    </w:lvl>
    <w:lvl w:ilvl="5" w:tplc="1F209576" w:tentative="1">
      <w:start w:val="1"/>
      <w:numFmt w:val="lowerRoman"/>
      <w:lvlText w:val="%6."/>
      <w:lvlJc w:val="right"/>
      <w:pPr>
        <w:ind w:left="5040" w:hanging="180"/>
      </w:pPr>
    </w:lvl>
    <w:lvl w:ilvl="6" w:tplc="5DBE9ADA" w:tentative="1">
      <w:start w:val="1"/>
      <w:numFmt w:val="decimal"/>
      <w:lvlText w:val="%7."/>
      <w:lvlJc w:val="left"/>
      <w:pPr>
        <w:ind w:left="5760" w:hanging="360"/>
      </w:pPr>
    </w:lvl>
    <w:lvl w:ilvl="7" w:tplc="2B76B07C" w:tentative="1">
      <w:start w:val="1"/>
      <w:numFmt w:val="lowerLetter"/>
      <w:lvlText w:val="%8."/>
      <w:lvlJc w:val="left"/>
      <w:pPr>
        <w:ind w:left="6480" w:hanging="360"/>
      </w:pPr>
    </w:lvl>
    <w:lvl w:ilvl="8" w:tplc="24F63B82"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00867B7E">
      <w:start w:val="1"/>
      <w:numFmt w:val="decimal"/>
      <w:lvlText w:val="%1."/>
      <w:lvlJc w:val="left"/>
      <w:pPr>
        <w:ind w:left="720" w:hanging="360"/>
      </w:pPr>
      <w:rPr>
        <w:rFonts w:hint="default"/>
      </w:rPr>
    </w:lvl>
    <w:lvl w:ilvl="1" w:tplc="ECDAF7A4" w:tentative="1">
      <w:start w:val="1"/>
      <w:numFmt w:val="lowerLetter"/>
      <w:lvlText w:val="%2."/>
      <w:lvlJc w:val="left"/>
      <w:pPr>
        <w:ind w:left="1440" w:hanging="360"/>
      </w:pPr>
    </w:lvl>
    <w:lvl w:ilvl="2" w:tplc="E09E8766" w:tentative="1">
      <w:start w:val="1"/>
      <w:numFmt w:val="lowerRoman"/>
      <w:lvlText w:val="%3."/>
      <w:lvlJc w:val="right"/>
      <w:pPr>
        <w:ind w:left="2160" w:hanging="180"/>
      </w:pPr>
    </w:lvl>
    <w:lvl w:ilvl="3" w:tplc="C9461DA4" w:tentative="1">
      <w:start w:val="1"/>
      <w:numFmt w:val="decimal"/>
      <w:lvlText w:val="%4."/>
      <w:lvlJc w:val="left"/>
      <w:pPr>
        <w:ind w:left="2880" w:hanging="360"/>
      </w:pPr>
    </w:lvl>
    <w:lvl w:ilvl="4" w:tplc="678E43BC" w:tentative="1">
      <w:start w:val="1"/>
      <w:numFmt w:val="lowerLetter"/>
      <w:lvlText w:val="%5."/>
      <w:lvlJc w:val="left"/>
      <w:pPr>
        <w:ind w:left="3600" w:hanging="360"/>
      </w:pPr>
    </w:lvl>
    <w:lvl w:ilvl="5" w:tplc="EF7E4C6C" w:tentative="1">
      <w:start w:val="1"/>
      <w:numFmt w:val="lowerRoman"/>
      <w:lvlText w:val="%6."/>
      <w:lvlJc w:val="right"/>
      <w:pPr>
        <w:ind w:left="4320" w:hanging="180"/>
      </w:pPr>
    </w:lvl>
    <w:lvl w:ilvl="6" w:tplc="1E40DE4C" w:tentative="1">
      <w:start w:val="1"/>
      <w:numFmt w:val="decimal"/>
      <w:lvlText w:val="%7."/>
      <w:lvlJc w:val="left"/>
      <w:pPr>
        <w:ind w:left="5040" w:hanging="360"/>
      </w:pPr>
    </w:lvl>
    <w:lvl w:ilvl="7" w:tplc="9EB039CC" w:tentative="1">
      <w:start w:val="1"/>
      <w:numFmt w:val="lowerLetter"/>
      <w:lvlText w:val="%8."/>
      <w:lvlJc w:val="left"/>
      <w:pPr>
        <w:ind w:left="5760" w:hanging="360"/>
      </w:pPr>
    </w:lvl>
    <w:lvl w:ilvl="8" w:tplc="A74EFE96"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7074F"/>
    <w:rsid w:val="00177CFF"/>
    <w:rsid w:val="001976BA"/>
    <w:rsid w:val="001A190B"/>
    <w:rsid w:val="001A6D5A"/>
    <w:rsid w:val="001B0FD8"/>
    <w:rsid w:val="001B4869"/>
    <w:rsid w:val="001C2E22"/>
    <w:rsid w:val="001E084B"/>
    <w:rsid w:val="001E4814"/>
    <w:rsid w:val="001F3E24"/>
    <w:rsid w:val="00206592"/>
    <w:rsid w:val="0021115E"/>
    <w:rsid w:val="0023431B"/>
    <w:rsid w:val="0023757B"/>
    <w:rsid w:val="002418B9"/>
    <w:rsid w:val="0024661B"/>
    <w:rsid w:val="00252A35"/>
    <w:rsid w:val="002541F8"/>
    <w:rsid w:val="00260451"/>
    <w:rsid w:val="002661F3"/>
    <w:rsid w:val="002805E8"/>
    <w:rsid w:val="002877DA"/>
    <w:rsid w:val="0029764F"/>
    <w:rsid w:val="002B029E"/>
    <w:rsid w:val="002B43A0"/>
    <w:rsid w:val="002C534A"/>
    <w:rsid w:val="002C60F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3D313F"/>
    <w:rsid w:val="00413D17"/>
    <w:rsid w:val="00423761"/>
    <w:rsid w:val="004407E3"/>
    <w:rsid w:val="004508B5"/>
    <w:rsid w:val="004662F6"/>
    <w:rsid w:val="0049712D"/>
    <w:rsid w:val="004C0810"/>
    <w:rsid w:val="004D5C14"/>
    <w:rsid w:val="004E4683"/>
    <w:rsid w:val="004F5159"/>
    <w:rsid w:val="00501552"/>
    <w:rsid w:val="00503DE4"/>
    <w:rsid w:val="0051632D"/>
    <w:rsid w:val="005202F5"/>
    <w:rsid w:val="00532D29"/>
    <w:rsid w:val="00536AA6"/>
    <w:rsid w:val="0054015B"/>
    <w:rsid w:val="00553535"/>
    <w:rsid w:val="00554DBB"/>
    <w:rsid w:val="00562529"/>
    <w:rsid w:val="00562A96"/>
    <w:rsid w:val="005632CA"/>
    <w:rsid w:val="00566C9D"/>
    <w:rsid w:val="00567960"/>
    <w:rsid w:val="00570C25"/>
    <w:rsid w:val="00587763"/>
    <w:rsid w:val="005A5FD8"/>
    <w:rsid w:val="005B70E7"/>
    <w:rsid w:val="005E3DF1"/>
    <w:rsid w:val="005E7111"/>
    <w:rsid w:val="0060509C"/>
    <w:rsid w:val="006130D4"/>
    <w:rsid w:val="00632572"/>
    <w:rsid w:val="00635703"/>
    <w:rsid w:val="00636F96"/>
    <w:rsid w:val="00664398"/>
    <w:rsid w:val="00694586"/>
    <w:rsid w:val="006966DA"/>
    <w:rsid w:val="006A1854"/>
    <w:rsid w:val="006D6DE4"/>
    <w:rsid w:val="0070693A"/>
    <w:rsid w:val="0071086A"/>
    <w:rsid w:val="0071652C"/>
    <w:rsid w:val="00766E5C"/>
    <w:rsid w:val="007753D3"/>
    <w:rsid w:val="0078051A"/>
    <w:rsid w:val="007943AB"/>
    <w:rsid w:val="007A6A04"/>
    <w:rsid w:val="007B007B"/>
    <w:rsid w:val="007C6897"/>
    <w:rsid w:val="007D1781"/>
    <w:rsid w:val="007D24D7"/>
    <w:rsid w:val="007E2989"/>
    <w:rsid w:val="008233B4"/>
    <w:rsid w:val="00827847"/>
    <w:rsid w:val="00835321"/>
    <w:rsid w:val="00877B3E"/>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1EED"/>
    <w:rsid w:val="009439B4"/>
    <w:rsid w:val="0094485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22365"/>
    <w:rsid w:val="00A22A32"/>
    <w:rsid w:val="00A26EC1"/>
    <w:rsid w:val="00A413E4"/>
    <w:rsid w:val="00A43144"/>
    <w:rsid w:val="00A448BB"/>
    <w:rsid w:val="00A52972"/>
    <w:rsid w:val="00A56CB8"/>
    <w:rsid w:val="00A73131"/>
    <w:rsid w:val="00A74BD4"/>
    <w:rsid w:val="00A825D3"/>
    <w:rsid w:val="00A85C62"/>
    <w:rsid w:val="00A96501"/>
    <w:rsid w:val="00A96F79"/>
    <w:rsid w:val="00AA5B8F"/>
    <w:rsid w:val="00AC7639"/>
    <w:rsid w:val="00AD7B19"/>
    <w:rsid w:val="00AF1CA9"/>
    <w:rsid w:val="00AF3243"/>
    <w:rsid w:val="00B047AD"/>
    <w:rsid w:val="00B13425"/>
    <w:rsid w:val="00B231DB"/>
    <w:rsid w:val="00B248A5"/>
    <w:rsid w:val="00B379DA"/>
    <w:rsid w:val="00B37B5B"/>
    <w:rsid w:val="00B4687F"/>
    <w:rsid w:val="00B532E4"/>
    <w:rsid w:val="00B54EB6"/>
    <w:rsid w:val="00B940B3"/>
    <w:rsid w:val="00BD239C"/>
    <w:rsid w:val="00BF2B81"/>
    <w:rsid w:val="00C03F1C"/>
    <w:rsid w:val="00C04712"/>
    <w:rsid w:val="00C07B25"/>
    <w:rsid w:val="00C109A7"/>
    <w:rsid w:val="00C13042"/>
    <w:rsid w:val="00C16A9C"/>
    <w:rsid w:val="00C21A84"/>
    <w:rsid w:val="00C41FD2"/>
    <w:rsid w:val="00C627A2"/>
    <w:rsid w:val="00C73FB4"/>
    <w:rsid w:val="00C7635E"/>
    <w:rsid w:val="00C76900"/>
    <w:rsid w:val="00CA21D8"/>
    <w:rsid w:val="00CA3227"/>
    <w:rsid w:val="00CB1B97"/>
    <w:rsid w:val="00CB2A4E"/>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C7609"/>
    <w:rsid w:val="00DD5146"/>
    <w:rsid w:val="00DE0A99"/>
    <w:rsid w:val="00DE7E2B"/>
    <w:rsid w:val="00E16B58"/>
    <w:rsid w:val="00E25267"/>
    <w:rsid w:val="00E4775A"/>
    <w:rsid w:val="00E660C0"/>
    <w:rsid w:val="00E67F84"/>
    <w:rsid w:val="00E75F0D"/>
    <w:rsid w:val="00E87F91"/>
    <w:rsid w:val="00E9021F"/>
    <w:rsid w:val="00E96872"/>
    <w:rsid w:val="00EA51D8"/>
    <w:rsid w:val="00EB7317"/>
    <w:rsid w:val="00EC449E"/>
    <w:rsid w:val="00EE39BE"/>
    <w:rsid w:val="00EE531A"/>
    <w:rsid w:val="00F26E41"/>
    <w:rsid w:val="00F303AF"/>
    <w:rsid w:val="00F33390"/>
    <w:rsid w:val="00F51FED"/>
    <w:rsid w:val="00F71B02"/>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F5508-2ABF-497D-AD23-20A638E1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826880">
      <w:bodyDiv w:val="1"/>
      <w:marLeft w:val="0"/>
      <w:marRight w:val="0"/>
      <w:marTop w:val="0"/>
      <w:marBottom w:val="0"/>
      <w:divBdr>
        <w:top w:val="none" w:sz="0" w:space="0" w:color="auto"/>
        <w:left w:val="none" w:sz="0" w:space="0" w:color="auto"/>
        <w:bottom w:val="none" w:sz="0" w:space="0" w:color="auto"/>
        <w:right w:val="none" w:sz="0" w:space="0" w:color="auto"/>
      </w:divBdr>
    </w:div>
    <w:div w:id="1308589380">
      <w:bodyDiv w:val="1"/>
      <w:marLeft w:val="0"/>
      <w:marRight w:val="0"/>
      <w:marTop w:val="0"/>
      <w:marBottom w:val="0"/>
      <w:divBdr>
        <w:top w:val="none" w:sz="0" w:space="0" w:color="auto"/>
        <w:left w:val="none" w:sz="0" w:space="0" w:color="auto"/>
        <w:bottom w:val="none" w:sz="0" w:space="0" w:color="auto"/>
        <w:right w:val="none" w:sz="0" w:space="0" w:color="auto"/>
      </w:divBdr>
    </w:div>
    <w:div w:id="193562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03335491112600118"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0" Type="http://schemas.openxmlformats.org/officeDocument/2006/relationships/hyperlink" Target="https://www.cdc.gov/nccdphp/dch/programs/healthycommunitiesprogram/overview/healthequity.htm" TargetMode="External" /><Relationship Id="rId4" Type="http://schemas.openxmlformats.org/officeDocument/2006/relationships/settings" Target="settings.xml" /><Relationship Id="rId9" Type="http://schemas.openxmlformats.org/officeDocument/2006/relationships/hyperlink" Target="https://doi.org/10.2105/ajph.2015.30284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D76C3-8A23-4BFD-98C5-1E23EDA6A6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694</Words>
  <Characters>3958</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2020-09-03T13:59:00Z</dcterms:created>
  <dcterms:modified xsi:type="dcterms:W3CDTF">2020-09-03T13:59:00Z</dcterms:modified>
</cp:coreProperties>
</file>